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7BA46" w14:textId="77777777" w:rsidR="00E56395" w:rsidRDefault="001522A7" w:rsidP="001522A7">
      <w:pPr>
        <w:jc w:val="center"/>
        <w:rPr>
          <w:rFonts w:ascii="Garamond" w:hAnsi="Garamond"/>
          <w:b/>
          <w:bCs/>
          <w:sz w:val="20"/>
          <w:szCs w:val="20"/>
        </w:rPr>
      </w:pPr>
      <w:r w:rsidRPr="000F51E0">
        <w:rPr>
          <w:rFonts w:ascii="Garamond" w:hAnsi="Garamond"/>
          <w:b/>
          <w:bCs/>
          <w:sz w:val="20"/>
          <w:szCs w:val="20"/>
        </w:rPr>
        <w:t xml:space="preserve">Administrative Measures on Import and Export Food Safety </w:t>
      </w:r>
    </w:p>
    <w:p w14:paraId="109AE327" w14:textId="2342ACB1" w:rsidR="00AB538C" w:rsidRPr="000F51E0" w:rsidRDefault="001522A7" w:rsidP="001522A7">
      <w:pPr>
        <w:jc w:val="center"/>
        <w:rPr>
          <w:rFonts w:ascii="Garamond" w:hAnsi="Garamond"/>
          <w:b/>
          <w:bCs/>
          <w:sz w:val="20"/>
          <w:szCs w:val="20"/>
        </w:rPr>
      </w:pPr>
      <w:r w:rsidRPr="000F51E0">
        <w:rPr>
          <w:rFonts w:ascii="Garamond" w:hAnsi="Garamond"/>
          <w:b/>
          <w:bCs/>
          <w:sz w:val="20"/>
          <w:szCs w:val="20"/>
        </w:rPr>
        <w:t>(</w:t>
      </w:r>
      <w:r w:rsidR="00E56395">
        <w:rPr>
          <w:rFonts w:ascii="Garamond" w:hAnsi="Garamond"/>
          <w:b/>
          <w:bCs/>
          <w:sz w:val="20"/>
          <w:szCs w:val="20"/>
        </w:rPr>
        <w:t xml:space="preserve">General Administration of the Customs of the P.R.C. - </w:t>
      </w:r>
      <w:r w:rsidRPr="000F51E0">
        <w:rPr>
          <w:rFonts w:ascii="Garamond" w:hAnsi="Garamond"/>
          <w:b/>
          <w:bCs/>
          <w:sz w:val="20"/>
          <w:szCs w:val="20"/>
        </w:rPr>
        <w:t>GACC Decree 24</w:t>
      </w:r>
      <w:r w:rsidR="005F4E59">
        <w:rPr>
          <w:rFonts w:ascii="Garamond" w:hAnsi="Garamond"/>
          <w:b/>
          <w:bCs/>
          <w:sz w:val="20"/>
          <w:szCs w:val="20"/>
        </w:rPr>
        <w:t>9</w:t>
      </w:r>
      <w:r w:rsidRPr="000F51E0">
        <w:rPr>
          <w:rFonts w:ascii="Garamond" w:hAnsi="Garamond"/>
          <w:b/>
          <w:bCs/>
          <w:sz w:val="20"/>
          <w:szCs w:val="20"/>
        </w:rPr>
        <w:t>)</w:t>
      </w:r>
    </w:p>
    <w:p w14:paraId="75EBBC90" w14:textId="34CE1B6C" w:rsidR="00C74B48" w:rsidRPr="000F51E0" w:rsidRDefault="00C74B48" w:rsidP="001522A7">
      <w:pPr>
        <w:jc w:val="center"/>
        <w:rPr>
          <w:rFonts w:ascii="Garamond" w:hAnsi="Garamond"/>
          <w:b/>
          <w:bCs/>
          <w:sz w:val="20"/>
          <w:szCs w:val="20"/>
        </w:rPr>
      </w:pPr>
      <w:r w:rsidRPr="000F51E0">
        <w:rPr>
          <w:rFonts w:ascii="Garamond" w:hAnsi="Garamond"/>
          <w:b/>
          <w:bCs/>
          <w:sz w:val="20"/>
          <w:szCs w:val="20"/>
        </w:rPr>
        <w:t>Summary</w:t>
      </w:r>
    </w:p>
    <w:p w14:paraId="49414472" w14:textId="737C9404" w:rsidR="001522A7" w:rsidRPr="000F51E0" w:rsidRDefault="001522A7" w:rsidP="001522A7">
      <w:pPr>
        <w:jc w:val="both"/>
        <w:rPr>
          <w:rFonts w:ascii="Garamond" w:hAnsi="Garamond"/>
          <w:sz w:val="20"/>
          <w:szCs w:val="20"/>
        </w:rPr>
      </w:pPr>
      <w:r w:rsidRPr="000F51E0">
        <w:rPr>
          <w:rFonts w:ascii="Garamond" w:hAnsi="Garamond"/>
          <w:b/>
          <w:bCs/>
          <w:sz w:val="20"/>
          <w:szCs w:val="20"/>
        </w:rPr>
        <w:t>Main requirement</w:t>
      </w:r>
      <w:r w:rsidR="00AE643C">
        <w:rPr>
          <w:rFonts w:ascii="Garamond" w:hAnsi="Garamond"/>
          <w:b/>
          <w:bCs/>
          <w:sz w:val="20"/>
          <w:szCs w:val="20"/>
        </w:rPr>
        <w:t xml:space="preserve">s. </w:t>
      </w:r>
      <w:r w:rsidR="006A0D48">
        <w:rPr>
          <w:rFonts w:ascii="Garamond" w:hAnsi="Garamond"/>
          <w:sz w:val="20"/>
          <w:szCs w:val="20"/>
        </w:rPr>
        <w:t xml:space="preserve">China will implement an </w:t>
      </w:r>
      <w:r w:rsidR="006A0D48" w:rsidRPr="006A0D48">
        <w:rPr>
          <w:rFonts w:ascii="Garamond" w:hAnsi="Garamond"/>
          <w:sz w:val="20"/>
          <w:szCs w:val="20"/>
        </w:rPr>
        <w:t>evaluation and review of a f</w:t>
      </w:r>
      <w:r w:rsidR="006A0D48">
        <w:rPr>
          <w:rFonts w:ascii="Garamond" w:hAnsi="Garamond"/>
          <w:sz w:val="20"/>
          <w:szCs w:val="20"/>
        </w:rPr>
        <w:t>oreign Country’s</w:t>
      </w:r>
      <w:r w:rsidR="006A0D48" w:rsidRPr="006A0D48">
        <w:rPr>
          <w:rFonts w:ascii="Garamond" w:hAnsi="Garamond"/>
          <w:sz w:val="20"/>
          <w:szCs w:val="20"/>
        </w:rPr>
        <w:t xml:space="preserve"> food safety management system</w:t>
      </w:r>
      <w:r w:rsidR="006A0D48">
        <w:rPr>
          <w:rFonts w:ascii="Garamond" w:hAnsi="Garamond"/>
          <w:sz w:val="20"/>
          <w:szCs w:val="20"/>
        </w:rPr>
        <w:t>.</w:t>
      </w:r>
      <w:r w:rsidR="00AE643C">
        <w:rPr>
          <w:rFonts w:ascii="Garamond" w:hAnsi="Garamond"/>
          <w:sz w:val="20"/>
          <w:szCs w:val="20"/>
        </w:rPr>
        <w:t xml:space="preserve"> New requirements are provided as for the packaging, labelling of imported food (</w:t>
      </w:r>
      <w:r w:rsidR="008421F0">
        <w:rPr>
          <w:rFonts w:ascii="Garamond" w:hAnsi="Garamond"/>
          <w:sz w:val="20"/>
          <w:szCs w:val="20"/>
        </w:rPr>
        <w:t>also t</w:t>
      </w:r>
      <w:r w:rsidR="00AE643C" w:rsidRPr="00AE643C">
        <w:rPr>
          <w:rFonts w:ascii="Garamond" w:hAnsi="Garamond"/>
          <w:sz w:val="20"/>
          <w:szCs w:val="20"/>
        </w:rPr>
        <w:t>he GACC registration number must be printed on the Chinese label of imported food</w:t>
      </w:r>
      <w:r w:rsidR="008421F0">
        <w:rPr>
          <w:rFonts w:ascii="Garamond" w:hAnsi="Garamond"/>
          <w:sz w:val="20"/>
          <w:szCs w:val="20"/>
        </w:rPr>
        <w:t>).</w:t>
      </w:r>
      <w:r w:rsidR="00AE643C" w:rsidRPr="00AE643C">
        <w:rPr>
          <w:rFonts w:ascii="Garamond" w:hAnsi="Garamond"/>
          <w:sz w:val="20"/>
          <w:szCs w:val="20"/>
        </w:rPr>
        <w:t xml:space="preserve">  </w:t>
      </w:r>
      <w:r w:rsidR="008421F0">
        <w:rPr>
          <w:rFonts w:ascii="Garamond" w:hAnsi="Garamond"/>
          <w:sz w:val="20"/>
          <w:szCs w:val="20"/>
        </w:rPr>
        <w:t xml:space="preserve">Export food producers are required to set up a </w:t>
      </w:r>
      <w:r w:rsidR="008421F0" w:rsidRPr="008421F0">
        <w:rPr>
          <w:rFonts w:ascii="Garamond" w:hAnsi="Garamond"/>
          <w:sz w:val="20"/>
          <w:szCs w:val="20"/>
        </w:rPr>
        <w:t>food safety and sanitation control system</w:t>
      </w:r>
      <w:r w:rsidR="008421F0">
        <w:rPr>
          <w:rFonts w:ascii="Garamond" w:hAnsi="Garamond"/>
          <w:sz w:val="20"/>
          <w:szCs w:val="20"/>
        </w:rPr>
        <w:t xml:space="preserve"> and a</w:t>
      </w:r>
      <w:r w:rsidR="008421F0" w:rsidRPr="008421F0">
        <w:t xml:space="preserve"> </w:t>
      </w:r>
      <w:r w:rsidR="008421F0" w:rsidRPr="008421F0">
        <w:rPr>
          <w:rFonts w:ascii="Garamond" w:hAnsi="Garamond"/>
          <w:sz w:val="20"/>
          <w:szCs w:val="20"/>
        </w:rPr>
        <w:t>supplier evaluation system</w:t>
      </w:r>
      <w:r w:rsidR="008421F0">
        <w:rPr>
          <w:rFonts w:ascii="Garamond" w:hAnsi="Garamond"/>
          <w:sz w:val="20"/>
          <w:szCs w:val="20"/>
        </w:rPr>
        <w:t>.</w:t>
      </w:r>
    </w:p>
    <w:p w14:paraId="24336B2B" w14:textId="1D946851" w:rsidR="001522A7" w:rsidRPr="000F51E0" w:rsidRDefault="001522A7" w:rsidP="001522A7">
      <w:pPr>
        <w:jc w:val="both"/>
        <w:rPr>
          <w:rFonts w:ascii="Garamond" w:hAnsi="Garamond"/>
          <w:sz w:val="20"/>
          <w:szCs w:val="20"/>
        </w:rPr>
      </w:pPr>
      <w:r w:rsidRPr="000F51E0">
        <w:rPr>
          <w:rFonts w:ascii="Garamond" w:hAnsi="Garamond"/>
          <w:b/>
          <w:bCs/>
          <w:sz w:val="20"/>
          <w:szCs w:val="20"/>
        </w:rPr>
        <w:t>Entry into force</w:t>
      </w:r>
      <w:r w:rsidRPr="000F51E0">
        <w:rPr>
          <w:rFonts w:ascii="Garamond" w:hAnsi="Garamond"/>
          <w:sz w:val="20"/>
          <w:szCs w:val="20"/>
        </w:rPr>
        <w:t>: January 1</w:t>
      </w:r>
      <w:r w:rsidRPr="000F51E0">
        <w:rPr>
          <w:rFonts w:ascii="Garamond" w:hAnsi="Garamond"/>
          <w:sz w:val="20"/>
          <w:szCs w:val="20"/>
          <w:vertAlign w:val="superscript"/>
        </w:rPr>
        <w:t>st</w:t>
      </w:r>
      <w:r w:rsidRPr="000F51E0">
        <w:rPr>
          <w:rFonts w:ascii="Garamond" w:hAnsi="Garamond"/>
          <w:sz w:val="20"/>
          <w:szCs w:val="20"/>
        </w:rPr>
        <w:t>, 202</w:t>
      </w:r>
      <w:r w:rsidR="00610D4A">
        <w:rPr>
          <w:rFonts w:ascii="Garamond" w:hAnsi="Garamond"/>
          <w:sz w:val="20"/>
          <w:szCs w:val="20"/>
        </w:rPr>
        <w:t>2</w:t>
      </w:r>
      <w:r w:rsidRPr="000F51E0">
        <w:rPr>
          <w:rFonts w:ascii="Garamond" w:hAnsi="Garamond"/>
          <w:sz w:val="20"/>
          <w:szCs w:val="20"/>
        </w:rPr>
        <w:t>.</w:t>
      </w:r>
    </w:p>
    <w:p w14:paraId="6AC3644F" w14:textId="19E83C71" w:rsidR="001522A7" w:rsidRPr="000F51E0" w:rsidRDefault="001522A7" w:rsidP="001522A7">
      <w:pPr>
        <w:jc w:val="both"/>
        <w:rPr>
          <w:rFonts w:ascii="Garamond" w:hAnsi="Garamond"/>
          <w:b/>
          <w:bCs/>
          <w:sz w:val="20"/>
          <w:szCs w:val="20"/>
        </w:rPr>
      </w:pPr>
      <w:r w:rsidRPr="000F51E0">
        <w:rPr>
          <w:rFonts w:ascii="Garamond" w:hAnsi="Garamond"/>
          <w:b/>
          <w:bCs/>
          <w:sz w:val="20"/>
          <w:szCs w:val="20"/>
        </w:rPr>
        <w:t>Brief overview on the content of the Decree:</w:t>
      </w:r>
    </w:p>
    <w:p w14:paraId="236B5D8D" w14:textId="091E4255" w:rsidR="00BA2F19" w:rsidRDefault="00806236" w:rsidP="00BA2F19">
      <w:pPr>
        <w:pStyle w:val="ListParagraph"/>
        <w:numPr>
          <w:ilvl w:val="0"/>
          <w:numId w:val="3"/>
        </w:numPr>
        <w:jc w:val="both"/>
        <w:rPr>
          <w:rFonts w:ascii="Garamond" w:hAnsi="Garamond"/>
          <w:sz w:val="20"/>
          <w:szCs w:val="20"/>
        </w:rPr>
      </w:pPr>
      <w:r>
        <w:rPr>
          <w:rFonts w:ascii="Garamond" w:hAnsi="Garamond"/>
          <w:sz w:val="20"/>
          <w:szCs w:val="20"/>
        </w:rPr>
        <w:t>China will implement an</w:t>
      </w:r>
      <w:r w:rsidRPr="00806236">
        <w:rPr>
          <w:rFonts w:ascii="Garamond" w:hAnsi="Garamond"/>
          <w:sz w:val="20"/>
          <w:szCs w:val="20"/>
        </w:rPr>
        <w:t xml:space="preserve"> evaluation and review</w:t>
      </w:r>
      <w:r>
        <w:rPr>
          <w:rFonts w:ascii="Garamond" w:hAnsi="Garamond"/>
          <w:sz w:val="20"/>
          <w:szCs w:val="20"/>
        </w:rPr>
        <w:t xml:space="preserve"> system for </w:t>
      </w:r>
      <w:r w:rsidRPr="00D00B61">
        <w:rPr>
          <w:rFonts w:ascii="Garamond" w:hAnsi="Garamond"/>
          <w:sz w:val="20"/>
          <w:szCs w:val="20"/>
          <w:u w:val="single"/>
        </w:rPr>
        <w:t>foreign counties</w:t>
      </w:r>
      <w:r w:rsidR="00D00B61" w:rsidRPr="00D00B61">
        <w:rPr>
          <w:rFonts w:ascii="Garamond" w:hAnsi="Garamond"/>
          <w:sz w:val="20"/>
          <w:szCs w:val="20"/>
          <w:u w:val="single"/>
        </w:rPr>
        <w:t>’ food safety management system</w:t>
      </w:r>
      <w:r w:rsidR="00D00B61">
        <w:rPr>
          <w:rFonts w:ascii="Garamond" w:hAnsi="Garamond"/>
          <w:sz w:val="20"/>
          <w:szCs w:val="20"/>
        </w:rPr>
        <w:t xml:space="preserve">, </w:t>
      </w:r>
      <w:r w:rsidR="00D153F8" w:rsidRPr="008031F4">
        <w:rPr>
          <w:rFonts w:ascii="Garamond" w:hAnsi="Garamond"/>
          <w:b/>
          <w:bCs/>
          <w:sz w:val="20"/>
          <w:szCs w:val="20"/>
        </w:rPr>
        <w:t>for the purpose of determining the applicable</w:t>
      </w:r>
      <w:r w:rsidR="00D153F8" w:rsidRPr="008031F4">
        <w:rPr>
          <w:rFonts w:ascii="Garamond" w:hAnsi="Garamond"/>
          <w:b/>
          <w:bCs/>
          <w:sz w:val="20"/>
          <w:szCs w:val="20"/>
        </w:rPr>
        <w:t xml:space="preserve"> inspection and quarantine requirements</w:t>
      </w:r>
      <w:r w:rsidR="00D153F8">
        <w:rPr>
          <w:rFonts w:ascii="Garamond" w:hAnsi="Garamond"/>
          <w:sz w:val="20"/>
          <w:szCs w:val="20"/>
        </w:rPr>
        <w:t>.</w:t>
      </w:r>
    </w:p>
    <w:p w14:paraId="68F0ADF5" w14:textId="7598A57B" w:rsidR="00BA2F19" w:rsidRPr="00BA2F19" w:rsidRDefault="00982531" w:rsidP="00BA2F19">
      <w:pPr>
        <w:pStyle w:val="ListParagraph"/>
        <w:numPr>
          <w:ilvl w:val="0"/>
          <w:numId w:val="3"/>
        </w:numPr>
        <w:jc w:val="both"/>
        <w:rPr>
          <w:rFonts w:ascii="Garamond" w:hAnsi="Garamond"/>
          <w:sz w:val="20"/>
          <w:szCs w:val="20"/>
        </w:rPr>
      </w:pPr>
      <w:r w:rsidRPr="00982531">
        <w:rPr>
          <w:rFonts w:ascii="Garamond" w:hAnsi="Garamond"/>
          <w:sz w:val="20"/>
          <w:szCs w:val="20"/>
        </w:rPr>
        <w:t xml:space="preserve">Articles 11 to 17 of the </w:t>
      </w:r>
      <w:r w:rsidR="003B28AC">
        <w:rPr>
          <w:rFonts w:ascii="Garamond" w:hAnsi="Garamond"/>
          <w:sz w:val="20"/>
          <w:szCs w:val="20"/>
        </w:rPr>
        <w:t>Decree</w:t>
      </w:r>
      <w:r w:rsidRPr="00982531">
        <w:rPr>
          <w:rFonts w:ascii="Garamond" w:hAnsi="Garamond"/>
          <w:sz w:val="20"/>
          <w:szCs w:val="20"/>
        </w:rPr>
        <w:t xml:space="preserve"> set out in detail the conditions, contents, review methods, review materials and application of results of the review and assessment by GACC for foreign </w:t>
      </w:r>
      <w:proofErr w:type="gramStart"/>
      <w:r w:rsidRPr="00982531">
        <w:rPr>
          <w:rFonts w:ascii="Garamond" w:hAnsi="Garamond"/>
          <w:sz w:val="20"/>
          <w:szCs w:val="20"/>
        </w:rPr>
        <w:t>countries, and</w:t>
      </w:r>
      <w:proofErr w:type="gramEnd"/>
      <w:r w:rsidRPr="00982531">
        <w:rPr>
          <w:rFonts w:ascii="Garamond" w:hAnsi="Garamond"/>
          <w:sz w:val="20"/>
          <w:szCs w:val="20"/>
        </w:rPr>
        <w:t xml:space="preserve"> stipulate that GACC may organize experts to implement the assessment and review through such ways as information review, video inspection and on-site inspection, and their combinations.</w:t>
      </w:r>
    </w:p>
    <w:p w14:paraId="744E71A2" w14:textId="0711D01F" w:rsidR="00BA2F19" w:rsidRDefault="004917FB" w:rsidP="00102BA8">
      <w:pPr>
        <w:pStyle w:val="ListParagraph"/>
        <w:numPr>
          <w:ilvl w:val="0"/>
          <w:numId w:val="3"/>
        </w:numPr>
        <w:jc w:val="both"/>
        <w:rPr>
          <w:rFonts w:ascii="Garamond" w:hAnsi="Garamond"/>
          <w:sz w:val="20"/>
          <w:szCs w:val="20"/>
        </w:rPr>
      </w:pPr>
      <w:r>
        <w:rPr>
          <w:rFonts w:ascii="Garamond" w:hAnsi="Garamond"/>
          <w:sz w:val="20"/>
          <w:szCs w:val="20"/>
        </w:rPr>
        <w:t>F</w:t>
      </w:r>
      <w:r w:rsidR="003B28AC" w:rsidRPr="00102BA8">
        <w:rPr>
          <w:rFonts w:ascii="Garamond" w:hAnsi="Garamond"/>
          <w:sz w:val="20"/>
          <w:szCs w:val="20"/>
        </w:rPr>
        <w:t xml:space="preserve">ood importers should establish a review system for overseas exporters and overseas manufacturers. </w:t>
      </w:r>
      <w:r w:rsidR="00B25290" w:rsidRPr="00102BA8">
        <w:rPr>
          <w:rFonts w:ascii="Garamond" w:hAnsi="Garamond"/>
          <w:sz w:val="20"/>
          <w:szCs w:val="20"/>
        </w:rPr>
        <w:t>The review shall focus</w:t>
      </w:r>
      <w:r w:rsidR="00102BA8" w:rsidRPr="00102BA8">
        <w:rPr>
          <w:rFonts w:ascii="Garamond" w:hAnsi="Garamond"/>
          <w:sz w:val="20"/>
          <w:szCs w:val="20"/>
        </w:rPr>
        <w:t xml:space="preserve"> on t</w:t>
      </w:r>
      <w:r w:rsidR="00102BA8" w:rsidRPr="00102BA8">
        <w:rPr>
          <w:rFonts w:ascii="Garamond" w:hAnsi="Garamond"/>
          <w:sz w:val="20"/>
          <w:szCs w:val="20"/>
        </w:rPr>
        <w:t>he formulation and implementation of food safety risk control measures; and</w:t>
      </w:r>
      <w:r w:rsidR="00102BA8" w:rsidRPr="00102BA8">
        <w:rPr>
          <w:rFonts w:ascii="Garamond" w:hAnsi="Garamond"/>
          <w:sz w:val="20"/>
          <w:szCs w:val="20"/>
        </w:rPr>
        <w:t xml:space="preserve"> the assurance that their foo</w:t>
      </w:r>
      <w:r w:rsidR="00102BA8">
        <w:rPr>
          <w:rFonts w:ascii="Garamond" w:hAnsi="Garamond"/>
          <w:sz w:val="20"/>
          <w:szCs w:val="20"/>
        </w:rPr>
        <w:t xml:space="preserve">d </w:t>
      </w:r>
      <w:r w:rsidR="00EE5056" w:rsidRPr="00102BA8">
        <w:rPr>
          <w:rFonts w:ascii="Garamond" w:hAnsi="Garamond"/>
          <w:sz w:val="20"/>
          <w:szCs w:val="20"/>
        </w:rPr>
        <w:t>conforms</w:t>
      </w:r>
      <w:r w:rsidR="00102BA8" w:rsidRPr="00102BA8">
        <w:rPr>
          <w:rFonts w:ascii="Garamond" w:hAnsi="Garamond"/>
          <w:sz w:val="20"/>
          <w:szCs w:val="20"/>
        </w:rPr>
        <w:t xml:space="preserve"> to the provisions of Chinese laws, regulations, and national food safety standards.</w:t>
      </w:r>
    </w:p>
    <w:p w14:paraId="5718A734" w14:textId="718D76C5" w:rsidR="007E0F32" w:rsidRPr="00286E06" w:rsidRDefault="004917FB" w:rsidP="00286E06">
      <w:pPr>
        <w:pStyle w:val="ListParagraph"/>
        <w:numPr>
          <w:ilvl w:val="0"/>
          <w:numId w:val="3"/>
        </w:numPr>
        <w:jc w:val="both"/>
        <w:rPr>
          <w:rFonts w:ascii="Garamond" w:hAnsi="Garamond"/>
          <w:sz w:val="20"/>
          <w:szCs w:val="20"/>
        </w:rPr>
      </w:pPr>
      <w:r>
        <w:rPr>
          <w:rFonts w:ascii="Garamond" w:hAnsi="Garamond"/>
          <w:sz w:val="20"/>
          <w:szCs w:val="20"/>
        </w:rPr>
        <w:t>T</w:t>
      </w:r>
      <w:r w:rsidR="007E0F32" w:rsidRPr="007E0F32">
        <w:rPr>
          <w:rFonts w:ascii="Garamond" w:hAnsi="Garamond"/>
          <w:sz w:val="20"/>
          <w:szCs w:val="20"/>
        </w:rPr>
        <w:t>he packaging, labels, and markings of food imports shall conform with the provisions of Chinese laws, regulations, and national food safety standards; if product instructions are required, instructions in Chinese shall be attached.</w:t>
      </w:r>
      <w:r w:rsidR="00286E06">
        <w:rPr>
          <w:rFonts w:ascii="Garamond" w:hAnsi="Garamond"/>
          <w:sz w:val="20"/>
          <w:szCs w:val="20"/>
        </w:rPr>
        <w:t xml:space="preserve"> </w:t>
      </w:r>
      <w:r w:rsidR="00F42394" w:rsidRPr="00286E06">
        <w:rPr>
          <w:rFonts w:ascii="Garamond" w:hAnsi="Garamond"/>
          <w:sz w:val="20"/>
          <w:szCs w:val="20"/>
        </w:rPr>
        <w:t xml:space="preserve">The Chinese labels of imported health food and foods for special dietary purposes must be printed </w:t>
      </w:r>
      <w:r w:rsidR="0088207D">
        <w:rPr>
          <w:rFonts w:ascii="Garamond" w:hAnsi="Garamond"/>
          <w:sz w:val="20"/>
          <w:szCs w:val="20"/>
        </w:rPr>
        <w:t xml:space="preserve">(not affixed) </w:t>
      </w:r>
      <w:r w:rsidR="00F42394" w:rsidRPr="00286E06">
        <w:rPr>
          <w:rFonts w:ascii="Garamond" w:hAnsi="Garamond"/>
          <w:sz w:val="20"/>
          <w:szCs w:val="20"/>
        </w:rPr>
        <w:t xml:space="preserve">on the </w:t>
      </w:r>
      <w:r w:rsidR="00286E06">
        <w:rPr>
          <w:rFonts w:ascii="Garamond" w:hAnsi="Garamond"/>
          <w:sz w:val="20"/>
          <w:szCs w:val="20"/>
        </w:rPr>
        <w:t>smallest</w:t>
      </w:r>
      <w:r w:rsidR="00F42394" w:rsidRPr="00286E06">
        <w:rPr>
          <w:rFonts w:ascii="Garamond" w:hAnsi="Garamond"/>
          <w:sz w:val="20"/>
          <w:szCs w:val="20"/>
        </w:rPr>
        <w:t xml:space="preserve"> </w:t>
      </w:r>
      <w:r w:rsidR="0088207D">
        <w:rPr>
          <w:rFonts w:ascii="Garamond" w:hAnsi="Garamond"/>
          <w:sz w:val="20"/>
          <w:szCs w:val="20"/>
        </w:rPr>
        <w:t>packages for sales.</w:t>
      </w:r>
      <w:r w:rsidR="00EE5056" w:rsidRPr="00EE5056">
        <w:rPr>
          <w:rFonts w:ascii="Garamond" w:hAnsi="Garamond"/>
          <w:sz w:val="20"/>
          <w:szCs w:val="20"/>
        </w:rPr>
        <w:t xml:space="preserve"> </w:t>
      </w:r>
      <w:r w:rsidR="00EE5056">
        <w:rPr>
          <w:rFonts w:ascii="Garamond" w:hAnsi="Garamond"/>
          <w:sz w:val="20"/>
          <w:szCs w:val="20"/>
        </w:rPr>
        <w:t xml:space="preserve">The </w:t>
      </w:r>
      <w:r w:rsidR="00EE5056" w:rsidRPr="00AE643C">
        <w:rPr>
          <w:rFonts w:ascii="Garamond" w:hAnsi="Garamond"/>
          <w:sz w:val="20"/>
          <w:szCs w:val="20"/>
        </w:rPr>
        <w:t>GACC registration number must be printed on the Chinese label of imported food</w:t>
      </w:r>
    </w:p>
    <w:p w14:paraId="67D35400" w14:textId="4A613A74" w:rsidR="007E0F32" w:rsidRDefault="004917FB" w:rsidP="007E0F32">
      <w:pPr>
        <w:pStyle w:val="ListParagraph"/>
        <w:numPr>
          <w:ilvl w:val="0"/>
          <w:numId w:val="3"/>
        </w:numPr>
        <w:jc w:val="both"/>
        <w:rPr>
          <w:rFonts w:ascii="Garamond" w:hAnsi="Garamond"/>
          <w:sz w:val="20"/>
          <w:szCs w:val="20"/>
        </w:rPr>
      </w:pPr>
      <w:r w:rsidRPr="004917FB">
        <w:rPr>
          <w:rFonts w:ascii="Garamond" w:hAnsi="Garamond"/>
          <w:sz w:val="20"/>
          <w:szCs w:val="20"/>
        </w:rPr>
        <w:t>If food safety incidents abroad may cause risks to food safety in China, or Customs detects noncompliant food imports in its oversight work, or detects other food safety problems, GACC and its authorized Customs offices may, based on risk assessment results, impose control measures on food imports, such as increasing the proportion of inspections and sample testing.</w:t>
      </w:r>
    </w:p>
    <w:p w14:paraId="5A78AE43" w14:textId="7BF16AEA" w:rsidR="00B51326" w:rsidRPr="00B51326" w:rsidRDefault="00B51326" w:rsidP="00B51326">
      <w:pPr>
        <w:pStyle w:val="ListParagraph"/>
        <w:numPr>
          <w:ilvl w:val="0"/>
          <w:numId w:val="3"/>
        </w:numPr>
        <w:jc w:val="both"/>
        <w:rPr>
          <w:rFonts w:ascii="Garamond" w:hAnsi="Garamond"/>
          <w:sz w:val="20"/>
          <w:szCs w:val="20"/>
        </w:rPr>
      </w:pPr>
      <w:r w:rsidRPr="009916C6">
        <w:rPr>
          <w:rFonts w:ascii="Garamond" w:hAnsi="Garamond"/>
          <w:b/>
          <w:bCs/>
          <w:sz w:val="20"/>
          <w:szCs w:val="20"/>
        </w:rPr>
        <w:t xml:space="preserve">Export food producers </w:t>
      </w:r>
      <w:r w:rsidRPr="009916C6">
        <w:rPr>
          <w:rFonts w:ascii="Garamond" w:hAnsi="Garamond"/>
          <w:b/>
          <w:bCs/>
          <w:sz w:val="20"/>
          <w:szCs w:val="20"/>
        </w:rPr>
        <w:t xml:space="preserve">are required to </w:t>
      </w:r>
      <w:r w:rsidRPr="009916C6">
        <w:rPr>
          <w:rFonts w:ascii="Garamond" w:hAnsi="Garamond"/>
          <w:b/>
          <w:bCs/>
          <w:sz w:val="20"/>
          <w:szCs w:val="20"/>
        </w:rPr>
        <w:t>establish a complete and traceable food safety</w:t>
      </w:r>
      <w:r w:rsidRPr="00B51326">
        <w:rPr>
          <w:rFonts w:ascii="Garamond" w:hAnsi="Garamond"/>
          <w:b/>
          <w:bCs/>
          <w:sz w:val="20"/>
          <w:szCs w:val="20"/>
        </w:rPr>
        <w:t xml:space="preserve"> and sanitation control system</w:t>
      </w:r>
      <w:r w:rsidRPr="00B51326">
        <w:rPr>
          <w:rFonts w:ascii="Garamond" w:hAnsi="Garamond"/>
          <w:sz w:val="20"/>
          <w:szCs w:val="20"/>
        </w:rPr>
        <w:t>, and guarantee effective operation of the system, ensure the production, processing, and storage process comply with the relevant laws, regulations, and health and safety requirements for export food producers of China; if the laws and regulations of the importing country (region) and relevant international treaties and contracts have special requirements, such requirements shall be followed.</w:t>
      </w:r>
    </w:p>
    <w:p w14:paraId="0F0C413F" w14:textId="62C21EF9" w:rsidR="00B51326" w:rsidRPr="007E0F32" w:rsidRDefault="00B51326" w:rsidP="00B51326">
      <w:pPr>
        <w:pStyle w:val="ListParagraph"/>
        <w:numPr>
          <w:ilvl w:val="0"/>
          <w:numId w:val="3"/>
        </w:numPr>
        <w:jc w:val="both"/>
        <w:rPr>
          <w:rFonts w:ascii="Garamond" w:hAnsi="Garamond"/>
          <w:sz w:val="20"/>
          <w:szCs w:val="20"/>
        </w:rPr>
      </w:pPr>
      <w:r w:rsidRPr="00B51326">
        <w:rPr>
          <w:rFonts w:ascii="Garamond" w:hAnsi="Garamond"/>
          <w:b/>
          <w:bCs/>
          <w:sz w:val="20"/>
          <w:szCs w:val="20"/>
        </w:rPr>
        <w:t>Export food producers shall establish a supplier evaluation system</w:t>
      </w:r>
      <w:r w:rsidRPr="00B51326">
        <w:rPr>
          <w:rFonts w:ascii="Garamond" w:hAnsi="Garamond"/>
          <w:sz w:val="20"/>
          <w:szCs w:val="20"/>
        </w:rPr>
        <w:t xml:space="preserve">, a receiving inspection record system, a production record keeping system, a delivery inspection record system, a traceability system for food exports, and a disposal mechanism for noncompliant food. </w:t>
      </w:r>
      <w:r w:rsidRPr="00B51326">
        <w:rPr>
          <w:rFonts w:ascii="Garamond" w:hAnsi="Garamond"/>
          <w:sz w:val="20"/>
          <w:szCs w:val="20"/>
          <w:u w:val="single"/>
        </w:rPr>
        <w:t>Relevant records shall be authentic and valid and be kept for at least six months after the expiry of the food shelf life; if the shelf life is not specified, the records shall be kept for no less than two years</w:t>
      </w:r>
      <w:r w:rsidRPr="00B51326">
        <w:rPr>
          <w:rFonts w:ascii="Garamond" w:hAnsi="Garamond"/>
          <w:sz w:val="20"/>
          <w:szCs w:val="20"/>
        </w:rPr>
        <w:t>.</w:t>
      </w:r>
    </w:p>
    <w:p w14:paraId="7B3C1891" w14:textId="4849D4F6" w:rsidR="001522A7" w:rsidRPr="000F51E0" w:rsidRDefault="001522A7" w:rsidP="00B51326">
      <w:pPr>
        <w:pStyle w:val="ListParagraph"/>
        <w:jc w:val="both"/>
        <w:rPr>
          <w:rFonts w:ascii="Garamond" w:hAnsi="Garamond"/>
          <w:sz w:val="20"/>
          <w:szCs w:val="20"/>
        </w:rPr>
      </w:pPr>
    </w:p>
    <w:sectPr w:rsidR="001522A7" w:rsidRPr="000F51E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A951D" w14:textId="77777777" w:rsidR="00B90E25" w:rsidRDefault="00B90E25" w:rsidP="00B90E25">
      <w:pPr>
        <w:spacing w:after="0" w:line="240" w:lineRule="auto"/>
      </w:pPr>
      <w:r>
        <w:separator/>
      </w:r>
    </w:p>
  </w:endnote>
  <w:endnote w:type="continuationSeparator" w:id="0">
    <w:p w14:paraId="7BF39BBC" w14:textId="77777777" w:rsidR="00B90E25" w:rsidRDefault="00B90E25" w:rsidP="00B9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D59FB" w14:textId="77777777" w:rsidR="00B90E25" w:rsidRDefault="00B90E25" w:rsidP="00B90E25">
      <w:pPr>
        <w:spacing w:after="0" w:line="240" w:lineRule="auto"/>
      </w:pPr>
      <w:r>
        <w:separator/>
      </w:r>
    </w:p>
  </w:footnote>
  <w:footnote w:type="continuationSeparator" w:id="0">
    <w:p w14:paraId="24D4B07E" w14:textId="77777777" w:rsidR="00B90E25" w:rsidRDefault="00B90E25" w:rsidP="00B90E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3F3FCF"/>
    <w:multiLevelType w:val="hybridMultilevel"/>
    <w:tmpl w:val="4A5C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8624DE"/>
    <w:multiLevelType w:val="hybridMultilevel"/>
    <w:tmpl w:val="35544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9818C3"/>
    <w:multiLevelType w:val="hybridMultilevel"/>
    <w:tmpl w:val="4EA21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6768DA"/>
    <w:multiLevelType w:val="hybridMultilevel"/>
    <w:tmpl w:val="8BD29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A7"/>
    <w:rsid w:val="000F51E0"/>
    <w:rsid w:val="00102BA8"/>
    <w:rsid w:val="001522A7"/>
    <w:rsid w:val="001D2F50"/>
    <w:rsid w:val="00286E06"/>
    <w:rsid w:val="003337E0"/>
    <w:rsid w:val="003B28AC"/>
    <w:rsid w:val="00426F9E"/>
    <w:rsid w:val="004917FB"/>
    <w:rsid w:val="00581076"/>
    <w:rsid w:val="005F2BBD"/>
    <w:rsid w:val="005F4E59"/>
    <w:rsid w:val="00610D4A"/>
    <w:rsid w:val="006A0D48"/>
    <w:rsid w:val="006B1DA0"/>
    <w:rsid w:val="007E0F32"/>
    <w:rsid w:val="007F4E73"/>
    <w:rsid w:val="008031F4"/>
    <w:rsid w:val="00806236"/>
    <w:rsid w:val="008421F0"/>
    <w:rsid w:val="00850F40"/>
    <w:rsid w:val="0088207D"/>
    <w:rsid w:val="00982531"/>
    <w:rsid w:val="009916C6"/>
    <w:rsid w:val="009D3AC2"/>
    <w:rsid w:val="00AB538C"/>
    <w:rsid w:val="00AE643C"/>
    <w:rsid w:val="00B25290"/>
    <w:rsid w:val="00B25D6E"/>
    <w:rsid w:val="00B51326"/>
    <w:rsid w:val="00B90E25"/>
    <w:rsid w:val="00BA2F19"/>
    <w:rsid w:val="00C74B48"/>
    <w:rsid w:val="00CF53F2"/>
    <w:rsid w:val="00D00B61"/>
    <w:rsid w:val="00D153F8"/>
    <w:rsid w:val="00E56395"/>
    <w:rsid w:val="00EE5056"/>
    <w:rsid w:val="00F42394"/>
    <w:rsid w:val="00F85EC1"/>
    <w:rsid w:val="00FB4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E0EAA"/>
  <w15:chartTrackingRefBased/>
  <w15:docId w15:val="{42F9D6D5-96E6-40B5-95C1-BB5B907D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2A7"/>
    <w:pPr>
      <w:ind w:left="720"/>
      <w:contextualSpacing/>
    </w:pPr>
  </w:style>
  <w:style w:type="table" w:styleId="TableGrid">
    <w:name w:val="Table Grid"/>
    <w:basedOn w:val="TableNormal"/>
    <w:uiPriority w:val="39"/>
    <w:rsid w:val="0015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90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0E25"/>
    <w:rPr>
      <w:sz w:val="20"/>
      <w:szCs w:val="20"/>
    </w:rPr>
  </w:style>
  <w:style w:type="character" w:styleId="FootnoteReference">
    <w:name w:val="footnote reference"/>
    <w:basedOn w:val="DefaultParagraphFont"/>
    <w:uiPriority w:val="99"/>
    <w:semiHidden/>
    <w:unhideWhenUsed/>
    <w:rsid w:val="00B90E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0365">
      <w:bodyDiv w:val="1"/>
      <w:marLeft w:val="0"/>
      <w:marRight w:val="0"/>
      <w:marTop w:val="0"/>
      <w:marBottom w:val="0"/>
      <w:divBdr>
        <w:top w:val="none" w:sz="0" w:space="0" w:color="auto"/>
        <w:left w:val="none" w:sz="0" w:space="0" w:color="auto"/>
        <w:bottom w:val="none" w:sz="0" w:space="0" w:color="auto"/>
        <w:right w:val="none" w:sz="0" w:space="0" w:color="auto"/>
      </w:divBdr>
    </w:div>
    <w:div w:id="394934993">
      <w:bodyDiv w:val="1"/>
      <w:marLeft w:val="0"/>
      <w:marRight w:val="0"/>
      <w:marTop w:val="0"/>
      <w:marBottom w:val="0"/>
      <w:divBdr>
        <w:top w:val="none" w:sz="0" w:space="0" w:color="auto"/>
        <w:left w:val="none" w:sz="0" w:space="0" w:color="auto"/>
        <w:bottom w:val="none" w:sz="0" w:space="0" w:color="auto"/>
        <w:right w:val="none" w:sz="0" w:space="0" w:color="auto"/>
      </w:divBdr>
    </w:div>
    <w:div w:id="610011528">
      <w:bodyDiv w:val="1"/>
      <w:marLeft w:val="0"/>
      <w:marRight w:val="0"/>
      <w:marTop w:val="0"/>
      <w:marBottom w:val="0"/>
      <w:divBdr>
        <w:top w:val="none" w:sz="0" w:space="0" w:color="auto"/>
        <w:left w:val="none" w:sz="0" w:space="0" w:color="auto"/>
        <w:bottom w:val="none" w:sz="0" w:space="0" w:color="auto"/>
        <w:right w:val="none" w:sz="0" w:space="0" w:color="auto"/>
      </w:divBdr>
    </w:div>
    <w:div w:id="1457717799">
      <w:bodyDiv w:val="1"/>
      <w:marLeft w:val="0"/>
      <w:marRight w:val="0"/>
      <w:marTop w:val="0"/>
      <w:marBottom w:val="0"/>
      <w:divBdr>
        <w:top w:val="none" w:sz="0" w:space="0" w:color="auto"/>
        <w:left w:val="none" w:sz="0" w:space="0" w:color="auto"/>
        <w:bottom w:val="none" w:sz="0" w:space="0" w:color="auto"/>
        <w:right w:val="none" w:sz="0" w:space="0" w:color="auto"/>
      </w:divBdr>
    </w:div>
    <w:div w:id="1509712456">
      <w:bodyDiv w:val="1"/>
      <w:marLeft w:val="0"/>
      <w:marRight w:val="0"/>
      <w:marTop w:val="0"/>
      <w:marBottom w:val="0"/>
      <w:divBdr>
        <w:top w:val="none" w:sz="0" w:space="0" w:color="auto"/>
        <w:left w:val="none" w:sz="0" w:space="0" w:color="auto"/>
        <w:bottom w:val="none" w:sz="0" w:space="0" w:color="auto"/>
        <w:right w:val="none" w:sz="0" w:space="0" w:color="auto"/>
      </w:divBdr>
      <w:divsChild>
        <w:div w:id="9353335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100F1-2910-4241-8A11-9D22C00E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 Riccardo VERZELLA - D'Andrea &amp; Partners Legal Counsel</dc:creator>
  <cp:keywords/>
  <dc:description/>
  <cp:lastModifiedBy>Avv. Riccardo VERZELLA - D'Andrea &amp; Partners Legal Counsel</cp:lastModifiedBy>
  <cp:revision>30</cp:revision>
  <dcterms:created xsi:type="dcterms:W3CDTF">2021-09-28T11:05:00Z</dcterms:created>
  <dcterms:modified xsi:type="dcterms:W3CDTF">2021-09-28T11:42:00Z</dcterms:modified>
</cp:coreProperties>
</file>